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704562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1EA0709E" w:rsidR="002542BD" w:rsidRDefault="009A4B09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testnevelés</w:t>
      </w:r>
      <w:r w:rsidR="00704562">
        <w:rPr>
          <w:rFonts w:ascii="Arial" w:eastAsia="Arial" w:hAnsi="Arial" w:cs="Arial"/>
          <w:b/>
          <w:color w:val="333333"/>
          <w:sz w:val="33"/>
          <w:szCs w:val="33"/>
        </w:rPr>
        <w:t xml:space="preserve"> - bármely szakos oktató</w:t>
      </w:r>
    </w:p>
    <w:p w14:paraId="00000006" w14:textId="77777777" w:rsidR="002542BD" w:rsidRDefault="00704562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>határozatlan idejű oktatói jogviszony</w:t>
      </w:r>
    </w:p>
    <w:p w14:paraId="00000009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leírás szerint (he</w:t>
      </w:r>
      <w:bookmarkStart w:id="0" w:name="_GoBack"/>
      <w:bookmarkEnd w:id="0"/>
      <w:r>
        <w:rPr>
          <w:rFonts w:ascii="Arial" w:eastAsia="Arial" w:hAnsi="Arial" w:cs="Arial"/>
          <w:color w:val="333333"/>
          <w:sz w:val="21"/>
          <w:szCs w:val="21"/>
        </w:rPr>
        <w:t>ti 22 tanítási óra).</w:t>
      </w:r>
    </w:p>
    <w:p w14:paraId="0000000F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70456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70456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42CD0469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Egyetem </w:t>
      </w:r>
      <w:r w:rsidR="00C16589">
        <w:rPr>
          <w:rFonts w:ascii="Arial" w:eastAsia="Arial" w:hAnsi="Arial" w:cs="Arial"/>
          <w:color w:val="333333"/>
          <w:sz w:val="21"/>
          <w:szCs w:val="21"/>
        </w:rPr>
        <w:t>testnevelés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szakos tanári végzettség,</w:t>
      </w:r>
    </w:p>
    <w:p w14:paraId="00000013" w14:textId="77777777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</w:p>
    <w:p w14:paraId="00000015" w14:textId="77777777" w:rsidR="002542BD" w:rsidRDefault="00704562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333333"/>
          <w:sz w:val="21"/>
          <w:szCs w:val="21"/>
        </w:rPr>
        <w:t>A pályázat részeként benyújtandó iratok, igazolások:</w:t>
      </w:r>
    </w:p>
    <w:p w14:paraId="00000016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7CEA23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2022. augusztus 22. napjától tölthető be.</w:t>
      </w:r>
    </w:p>
    <w:p w14:paraId="0000001D" w14:textId="640A433A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2022. augusztus 5.</w:t>
      </w:r>
    </w:p>
    <w:p w14:paraId="0000001E" w14:textId="3E191910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pályázati kiírással kapcsolatosan további információt Turcsán Tímea igazgatóhelyettes nyújt, a 0670/4120761 -es telefonszámon.</w:t>
      </w:r>
    </w:p>
    <w:p w14:paraId="0000001F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</w:p>
    <w:p w14:paraId="00000020" w14:textId="2B375519" w:rsidR="002542BD" w:rsidRDefault="00704562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Dr.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Attila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5FD4CAE2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2022. augusztus 10.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310365"/>
    <w:rsid w:val="00704562"/>
    <w:rsid w:val="009244E9"/>
    <w:rsid w:val="009A4B09"/>
    <w:rsid w:val="00C16589"/>
    <w:rsid w:val="00DC7E0B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F38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2</cp:revision>
  <dcterms:created xsi:type="dcterms:W3CDTF">2022-07-05T10:46:00Z</dcterms:created>
  <dcterms:modified xsi:type="dcterms:W3CDTF">2022-07-05T10:46:00Z</dcterms:modified>
</cp:coreProperties>
</file>